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E5" w:rsidRDefault="008E792C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16-16-2-56/8655-И от 15.10.2024</w:t>
      </w:r>
    </w:p>
    <w:p w:rsidR="0058706C" w:rsidRDefault="00775D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-28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lang w:val="ru-RU" w:eastAsia="zh-CN"/>
        </w:rPr>
        <w:drawing>
          <wp:inline distT="0" distB="0" distL="0" distR="0">
            <wp:extent cx="6430972" cy="2358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430970" cy="2358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06C" w:rsidRDefault="005870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D57903" w:rsidRDefault="00D579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D57903" w:rsidRDefault="00D579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D57903" w:rsidRDefault="009A5036" w:rsidP="0064119C">
      <w:pPr>
        <w:spacing w:after="0" w:line="240" w:lineRule="auto"/>
        <w:ind w:left="5664" w:firstLine="1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Высшим учебным заведениям и научно-исследовательским институтам</w:t>
      </w:r>
    </w:p>
    <w:p w:rsidR="00F46A58" w:rsidRPr="00F46A58" w:rsidRDefault="00F46A58" w:rsidP="0064119C">
      <w:pPr>
        <w:spacing w:after="0" w:line="240" w:lineRule="auto"/>
        <w:ind w:left="5664" w:firstLine="1"/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F46A58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(</w:t>
      </w:r>
      <w:r w:rsidR="009A5036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согласно списка</w:t>
      </w:r>
      <w:r w:rsidRPr="00F46A58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)</w:t>
      </w:r>
    </w:p>
    <w:p w:rsidR="00B629E4" w:rsidRPr="00F46A58" w:rsidRDefault="00B629E4" w:rsidP="0064119C">
      <w:pPr>
        <w:spacing w:after="0" w:line="240" w:lineRule="auto"/>
        <w:ind w:left="5664" w:firstLine="1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365298" w:rsidRDefault="00365298" w:rsidP="0064119C">
      <w:pPr>
        <w:spacing w:after="0" w:line="240" w:lineRule="auto"/>
        <w:jc w:val="center"/>
        <w:rPr>
          <w:rFonts w:asciiTheme="minorHAnsi" w:hAnsiTheme="minorHAnsi"/>
          <w:color w:val="333333"/>
          <w:sz w:val="20"/>
          <w:szCs w:val="20"/>
          <w:shd w:val="clear" w:color="auto" w:fill="F7F7F7"/>
          <w:lang w:val="kk-KZ"/>
        </w:rPr>
      </w:pPr>
    </w:p>
    <w:p w:rsidR="006B27D1" w:rsidRDefault="006B27D1" w:rsidP="00641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B27D1">
        <w:rPr>
          <w:rFonts w:ascii="Times New Roman" w:hAnsi="Times New Roman" w:cs="Times New Roman"/>
          <w:i/>
          <w:sz w:val="24"/>
          <w:szCs w:val="24"/>
          <w:lang w:val="kk-KZ"/>
        </w:rPr>
        <w:t xml:space="preserve">Касательно </w:t>
      </w:r>
      <w:r w:rsidRPr="006B27D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Международного конкурса </w:t>
      </w:r>
    </w:p>
    <w:p w:rsidR="006B27D1" w:rsidRDefault="006B27D1" w:rsidP="00641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B27D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молодых ученых в сфере интеллектуальной </w:t>
      </w:r>
    </w:p>
    <w:p w:rsidR="00365298" w:rsidRPr="006B27D1" w:rsidRDefault="006B27D1" w:rsidP="006411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B27D1">
        <w:rPr>
          <w:rFonts w:ascii="Times New Roman" w:hAnsi="Times New Roman" w:cs="Times New Roman"/>
          <w:i/>
          <w:sz w:val="24"/>
          <w:szCs w:val="24"/>
          <w:lang w:val="ru-RU"/>
        </w:rPr>
        <w:t>собственности «Интеллект»</w:t>
      </w:r>
    </w:p>
    <w:p w:rsidR="00F46A58" w:rsidRPr="006B27D1" w:rsidRDefault="00F46A58" w:rsidP="0064119C">
      <w:pPr>
        <w:spacing w:after="0" w:line="240" w:lineRule="auto"/>
        <w:rPr>
          <w:rFonts w:asciiTheme="minorHAnsi" w:hAnsiTheme="minorHAnsi"/>
          <w:i/>
          <w:color w:val="333333"/>
          <w:sz w:val="24"/>
          <w:szCs w:val="24"/>
          <w:shd w:val="clear" w:color="auto" w:fill="F7F7F7"/>
          <w:lang w:val="kk-KZ"/>
        </w:rPr>
      </w:pPr>
    </w:p>
    <w:p w:rsidR="005938E9" w:rsidRDefault="005938E9" w:rsidP="00641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Комитет науки Министерства науки и высшего о</w:t>
      </w:r>
      <w:r w:rsidR="009A5036" w:rsidRPr="009A5036">
        <w:rPr>
          <w:rFonts w:ascii="Times New Roman" w:hAnsi="Times New Roman" w:cs="Times New Roman"/>
          <w:sz w:val="28"/>
          <w:lang w:val="ru-RU"/>
        </w:rPr>
        <w:t xml:space="preserve">бразование </w:t>
      </w:r>
      <w:r w:rsidR="009A5036">
        <w:rPr>
          <w:rFonts w:ascii="Times New Roman" w:hAnsi="Times New Roman" w:cs="Times New Roman"/>
          <w:sz w:val="28"/>
          <w:lang w:val="kk-KZ"/>
        </w:rPr>
        <w:t xml:space="preserve">Республики Казахстан </w:t>
      </w:r>
      <w:r w:rsidR="009A5036" w:rsidRPr="009A5036">
        <w:rPr>
          <w:rFonts w:ascii="Times New Roman" w:hAnsi="Times New Roman" w:cs="Times New Roman"/>
          <w:sz w:val="28"/>
          <w:lang w:val="ru-RU"/>
        </w:rPr>
        <w:t xml:space="preserve">информирует о проведении Международного конкурса молодых ученых в сфере </w:t>
      </w:r>
      <w:r w:rsidR="009A5036">
        <w:rPr>
          <w:rFonts w:ascii="Times New Roman" w:hAnsi="Times New Roman" w:cs="Times New Roman"/>
          <w:sz w:val="28"/>
          <w:lang w:val="ru-RU"/>
        </w:rPr>
        <w:t>интеллектуальной собственности «</w:t>
      </w:r>
      <w:r w:rsidR="009A5036" w:rsidRPr="009A5036">
        <w:rPr>
          <w:rFonts w:ascii="Times New Roman" w:hAnsi="Times New Roman" w:cs="Times New Roman"/>
          <w:sz w:val="28"/>
          <w:lang w:val="ru-RU"/>
        </w:rPr>
        <w:t>Интеллект</w:t>
      </w:r>
      <w:r w:rsidR="009A5036">
        <w:rPr>
          <w:rFonts w:ascii="Times New Roman" w:hAnsi="Times New Roman" w:cs="Times New Roman"/>
          <w:sz w:val="28"/>
          <w:lang w:val="ru-RU"/>
        </w:rPr>
        <w:t>»</w:t>
      </w:r>
      <w:r w:rsidR="009A5036" w:rsidRPr="009A5036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9A5036" w:rsidRPr="009A5036" w:rsidRDefault="009A5036" w:rsidP="00641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9A5036">
        <w:rPr>
          <w:rFonts w:ascii="Times New Roman" w:hAnsi="Times New Roman" w:cs="Times New Roman"/>
          <w:sz w:val="28"/>
          <w:lang w:val="ru-RU"/>
        </w:rPr>
        <w:t xml:space="preserve">Конкурс будет проводиться при поддержке Федеральной службы по интеллектуальной собственности </w:t>
      </w:r>
      <w:r w:rsidR="005938E9">
        <w:rPr>
          <w:rFonts w:ascii="Times New Roman" w:hAnsi="Times New Roman" w:cs="Times New Roman"/>
          <w:sz w:val="28"/>
          <w:lang w:val="ru-RU"/>
        </w:rPr>
        <w:t xml:space="preserve">Российской Федерации </w:t>
      </w:r>
      <w:r w:rsidRPr="009A5036">
        <w:rPr>
          <w:rFonts w:ascii="Times New Roman" w:hAnsi="Times New Roman" w:cs="Times New Roman"/>
          <w:sz w:val="28"/>
          <w:lang w:val="ru-RU"/>
        </w:rPr>
        <w:t xml:space="preserve">(Роспатент) и Евразийского патентного ведомства. Конкурс проводится ежегодно среди студентов, магистрантов, аспирантов и научных сотрудников образовательных организаций высшего образования и научных организаций в возрасте до 35 лет. </w:t>
      </w:r>
    </w:p>
    <w:p w:rsidR="009A5036" w:rsidRDefault="009A5036" w:rsidP="00641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Более подробная информация (даты проведения, этапы) прилагается. </w:t>
      </w:r>
    </w:p>
    <w:p w:rsidR="009A5036" w:rsidRPr="00A85448" w:rsidRDefault="009A5036" w:rsidP="00641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Приложение: на 2 языках.</w:t>
      </w:r>
    </w:p>
    <w:p w:rsidR="00F46A58" w:rsidRDefault="00F46A58" w:rsidP="00641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F46A58" w:rsidRPr="00F46A58" w:rsidRDefault="00F46A58" w:rsidP="00641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58706C" w:rsidRDefault="00CC4AB5" w:rsidP="006411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</w:t>
      </w:r>
      <w:r w:rsidR="009A5036">
        <w:rPr>
          <w:rFonts w:ascii="Times New Roman" w:hAnsi="Times New Roman" w:cs="Times New Roman"/>
          <w:b/>
          <w:sz w:val="28"/>
          <w:lang w:val="kk-KZ"/>
        </w:rPr>
        <w:t>Председатель</w:t>
      </w:r>
      <w:r w:rsidR="009A5036">
        <w:rPr>
          <w:rFonts w:ascii="Times New Roman" w:hAnsi="Times New Roman" w:cs="Times New Roman"/>
          <w:b/>
          <w:sz w:val="28"/>
          <w:lang w:val="kk-KZ"/>
        </w:rPr>
        <w:tab/>
      </w:r>
      <w:r w:rsidR="009A5036">
        <w:rPr>
          <w:rFonts w:ascii="Times New Roman" w:hAnsi="Times New Roman" w:cs="Times New Roman"/>
          <w:b/>
          <w:sz w:val="28"/>
          <w:lang w:val="kk-KZ"/>
        </w:rPr>
        <w:tab/>
      </w:r>
      <w:r w:rsidR="009A5036">
        <w:rPr>
          <w:rFonts w:ascii="Times New Roman" w:hAnsi="Times New Roman" w:cs="Times New Roman"/>
          <w:b/>
          <w:sz w:val="28"/>
          <w:lang w:val="kk-KZ"/>
        </w:rPr>
        <w:tab/>
      </w:r>
      <w:r w:rsidR="009A5036">
        <w:rPr>
          <w:rFonts w:ascii="Times New Roman" w:hAnsi="Times New Roman" w:cs="Times New Roman"/>
          <w:b/>
          <w:sz w:val="28"/>
          <w:lang w:val="kk-KZ"/>
        </w:rPr>
        <w:tab/>
      </w:r>
      <w:r w:rsidR="009A5036">
        <w:rPr>
          <w:rFonts w:ascii="Times New Roman" w:hAnsi="Times New Roman" w:cs="Times New Roman"/>
          <w:b/>
          <w:sz w:val="28"/>
          <w:lang w:val="kk-KZ"/>
        </w:rPr>
        <w:tab/>
      </w:r>
      <w:r w:rsidR="009A5036">
        <w:rPr>
          <w:rFonts w:ascii="Times New Roman" w:hAnsi="Times New Roman" w:cs="Times New Roman"/>
          <w:b/>
          <w:sz w:val="28"/>
          <w:lang w:val="kk-KZ"/>
        </w:rPr>
        <w:tab/>
        <w:t xml:space="preserve"> </w:t>
      </w:r>
      <w:r w:rsidR="009A5036">
        <w:rPr>
          <w:rFonts w:ascii="Times New Roman" w:hAnsi="Times New Roman" w:cs="Times New Roman"/>
          <w:b/>
          <w:sz w:val="28"/>
          <w:lang w:val="kk-KZ"/>
        </w:rPr>
        <w:tab/>
      </w:r>
      <w:r w:rsidR="009A5036">
        <w:rPr>
          <w:rFonts w:ascii="Times New Roman" w:hAnsi="Times New Roman" w:cs="Times New Roman"/>
          <w:b/>
          <w:sz w:val="28"/>
          <w:lang w:val="kk-KZ"/>
        </w:rPr>
        <w:tab/>
        <w:t>Г</w:t>
      </w:r>
      <w:r w:rsidR="00775D2C">
        <w:rPr>
          <w:rFonts w:ascii="Times New Roman" w:hAnsi="Times New Roman" w:cs="Times New Roman"/>
          <w:b/>
          <w:sz w:val="28"/>
          <w:lang w:val="kk-KZ"/>
        </w:rPr>
        <w:t xml:space="preserve">. </w:t>
      </w:r>
      <w:r w:rsidR="009A5036">
        <w:rPr>
          <w:rFonts w:ascii="Times New Roman" w:hAnsi="Times New Roman" w:cs="Times New Roman"/>
          <w:b/>
          <w:sz w:val="28"/>
          <w:lang w:val="kk-KZ"/>
        </w:rPr>
        <w:t>Жанк</w:t>
      </w:r>
      <w:r w:rsidR="00F46A58">
        <w:rPr>
          <w:rFonts w:ascii="Times New Roman" w:hAnsi="Times New Roman" w:cs="Times New Roman"/>
          <w:b/>
          <w:sz w:val="28"/>
          <w:lang w:val="kk-KZ"/>
        </w:rPr>
        <w:t>уатов</w:t>
      </w:r>
    </w:p>
    <w:p w:rsidR="0058706C" w:rsidRDefault="0058706C" w:rsidP="0064119C">
      <w:pPr>
        <w:pStyle w:val="af9"/>
        <w:spacing w:before="0" w:beforeAutospacing="0" w:after="0" w:afterAutospacing="0"/>
        <w:jc w:val="both"/>
        <w:rPr>
          <w:color w:val="000000"/>
          <w:sz w:val="28"/>
          <w:lang w:val="kk-KZ"/>
        </w:rPr>
      </w:pPr>
    </w:p>
    <w:p w:rsidR="0058706C" w:rsidRDefault="0058706C" w:rsidP="006411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8706C" w:rsidRDefault="0058706C" w:rsidP="006411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706C" w:rsidRDefault="0058706C" w:rsidP="006411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706C" w:rsidRDefault="0058706C" w:rsidP="006411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4119C" w:rsidRDefault="0064119C" w:rsidP="006411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7903" w:rsidRPr="00D57903" w:rsidRDefault="00D57903" w:rsidP="0064119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D57903">
        <w:rPr>
          <w:rFonts w:ascii="Times New Roman" w:hAnsi="Times New Roman" w:cs="Times New Roman"/>
          <w:i/>
          <w:sz w:val="20"/>
          <w:szCs w:val="20"/>
          <w:lang w:val="kk-KZ"/>
        </w:rPr>
        <w:t xml:space="preserve">Орынд.: </w:t>
      </w:r>
      <w:r w:rsidRPr="00D57903">
        <w:rPr>
          <w:rFonts w:ascii="Times New Roman" w:hAnsi="Times New Roman" w:cs="Times New Roman"/>
          <w:i/>
          <w:noProof/>
          <w:sz w:val="20"/>
          <w:szCs w:val="20"/>
          <w:lang w:val="kk-KZ"/>
        </w:rPr>
        <w:t>Г.Б. Есенбекова</w:t>
      </w:r>
    </w:p>
    <w:p w:rsidR="00D57903" w:rsidRPr="00D57903" w:rsidRDefault="00D57903" w:rsidP="0064119C">
      <w:pPr>
        <w:spacing w:after="0" w:line="240" w:lineRule="auto"/>
        <w:outlineLvl w:val="0"/>
        <w:rPr>
          <w:rFonts w:ascii="Times New Roman" w:hAnsi="Times New Roman" w:cs="Times New Roman"/>
          <w:i/>
          <w:noProof/>
          <w:sz w:val="20"/>
          <w:szCs w:val="20"/>
          <w:lang w:val="ru-RU"/>
        </w:rPr>
      </w:pPr>
      <w:r w:rsidRPr="00D57903">
        <w:rPr>
          <w:rFonts w:ascii="Times New Roman" w:hAnsi="Times New Roman" w:cs="Times New Roman"/>
          <w:i/>
          <w:noProof/>
          <w:sz w:val="20"/>
          <w:szCs w:val="20"/>
          <w:lang w:val="kk-KZ"/>
        </w:rPr>
        <w:t xml:space="preserve">Тел.: </w:t>
      </w:r>
      <w:r w:rsidRPr="00D57903">
        <w:rPr>
          <w:rFonts w:ascii="Times New Roman" w:hAnsi="Times New Roman" w:cs="Times New Roman"/>
          <w:i/>
          <w:noProof/>
          <w:sz w:val="20"/>
          <w:szCs w:val="20"/>
          <w:lang w:val="ru-RU"/>
        </w:rPr>
        <w:t>8(7172)742483</w:t>
      </w:r>
    </w:p>
    <w:p w:rsidR="008F779A" w:rsidRDefault="008F779A" w:rsidP="006411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372"/>
        <w:rPr>
          <w:rFonts w:ascii="Times New Roman" w:hAnsi="Times New Roman" w:cs="Times New Roman"/>
          <w:i/>
          <w:noProof/>
          <w:color w:val="0070C0"/>
          <w:sz w:val="20"/>
          <w:szCs w:val="20"/>
          <w:u w:val="single"/>
        </w:rPr>
      </w:pPr>
    </w:p>
    <w:p w:rsidR="0064119C" w:rsidRDefault="0064119C" w:rsidP="006411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64119C" w:rsidRDefault="0064119C" w:rsidP="006411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64119C" w:rsidRDefault="0064119C" w:rsidP="006411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945F13" w:rsidRDefault="00945F13" w:rsidP="0064119C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Список высших учебных заведений</w:t>
      </w:r>
    </w:p>
    <w:p w:rsidR="0064119C" w:rsidRPr="00992C54" w:rsidRDefault="0064119C" w:rsidP="0064119C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620"/>
        <w:gridCol w:w="8780"/>
      </w:tblGrid>
      <w:tr w:rsidR="00945F13" w:rsidRPr="00945F13" w:rsidTr="0042103E">
        <w:trPr>
          <w:trHeight w:val="387"/>
        </w:trPr>
        <w:tc>
          <w:tcPr>
            <w:tcW w:w="940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Национальные вузы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Евразийский национальный университет им. Л.Н.Гумилева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национальная академия искусств им. Т. Жургенова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4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национальная академия хореографии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национальная консерватория им. Курмангазы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аграрный исследовательский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женский педагогический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63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исследовательский технический университет им. К.И. Сатпаева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медицинский университет им. С.Д. Асфендиярова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педагогический университет им. Абая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университет им. Аль-Фараби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университет искусств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47"/>
        </w:trPr>
        <w:tc>
          <w:tcPr>
            <w:tcW w:w="940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 xml:space="preserve">Государственные </w:t>
            </w:r>
            <w:r w:rsidR="00992C54"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вузы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Актюбинский региоанльный университет им. К.Жубанова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Аркалыкский педагогический институт им. И.Алтынсарина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293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Атырауский университет им. Х.Досмухамедова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Атырауский университет нефти и газа им. С.Утебаева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Восточно-Казахстанский университет им. С. Аманжолова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Восточно-Казахстанский технический университет им. Д.Серикбаева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9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Жетысуский университет им. И.Жансугурова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аграрно-технический университет им. Жангир хана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университет им. М.Утемисова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4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индустриальный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4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технический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университет им. академика Е.А.Букетова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Каспийский университет технологии и инжиниринга им. Ш. Есенова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Кокшетауский университет им. Ш.Уалиханова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Костанайский региональный университет им. А. Байтурсынова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Кызылординский университет им. Коркыт Ата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Павлодарский педагогический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7A0A9D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Торайгыров университет;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Рудненский индустриальный институт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Северо-Казахстанский университет им. М.Козыбаева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им. Шакарима г. Семей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Таразский региональный университет им. М.Х.Дулати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219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Южно-Казахстанский университет им. М.Ауэзова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267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медицинский университет им. М. Оспанова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Медицинский университет Караганды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Медицинский университет г. Семей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Южно-Казахстанская медицинская академия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Южно-Казахстанский государственный педагогический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5F13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45F13" w:rsidRPr="00992C54" w:rsidRDefault="00945F13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45F13" w:rsidRPr="00945F13" w:rsidRDefault="00945F1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университет туризма и гостеприимства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70"/>
        </w:trPr>
        <w:tc>
          <w:tcPr>
            <w:tcW w:w="9400" w:type="dxa"/>
            <w:gridSpan w:val="2"/>
            <w:shd w:val="clear" w:color="auto" w:fill="auto"/>
            <w:noWrap/>
            <w:vAlign w:val="center"/>
          </w:tcPr>
          <w:p w:rsidR="00992C54" w:rsidRPr="00992C54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zh-CN"/>
              </w:rPr>
              <w:t xml:space="preserve">     </w:t>
            </w:r>
            <w:r w:rsidRPr="00992C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zh-CN"/>
              </w:rPr>
              <w:t>АО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lastRenderedPageBreak/>
              <w:t>41</w:t>
            </w:r>
          </w:p>
        </w:tc>
        <w:tc>
          <w:tcPr>
            <w:tcW w:w="8780" w:type="dxa"/>
            <w:shd w:val="clear" w:color="auto" w:fill="auto"/>
            <w:vAlign w:val="center"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гражданской авиации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логи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стики и транспорта/бывш. КазАТК;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Алматинский университет энергетики и связи им. Г. Даукеева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Алматинский технологический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Жезказганский 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им. О.А.Байконурова;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академия спорта и туризма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агротехнический университет им. С. Сейфуллина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63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университет международных отношений и мировых языков им. Абылай хана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Казахстанско-Британский технический университет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Международная образовательная корпорация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университет информационных технологий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Медицинский университет Астана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7A0A9D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КИМЭП;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Нархоз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университет технологии и бизнеса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2B1CC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КАЗГЮУ им. М.С.Нарикбаева</w:t>
            </w:r>
            <w:r w:rsidR="007A0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29"/>
        </w:trPr>
        <w:tc>
          <w:tcPr>
            <w:tcW w:w="940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Частные вузы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2B1CC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Astana IT University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"Bolashaq"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Кайнар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49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физической культуры и массового спорта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Алматинский гуманитарно-экономический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Алматы менеджмент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Атырауский инженерно-гуманитарный институт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Баишев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Гуманитарно-техническая академия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Гуманитарно-технический институт Акмешит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Евразийская юридическая академия им. Д.А.Кунаева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Евразийский гуманитарный институт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Евразийский технологический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Египетский университет исламской культуры Нур-Мубарак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Екибастузский инженерно-технический институт им. академика К.Сатпаева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инновационно-технологический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Инновационный Евразийский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автомобильно-дорожный институт им. Б.Гончарова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Алихан Бокейхан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кий университет путей сообщения;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университет экономики, финансов и международной торговли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Казахско-Русский Международный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Казахстанский инженерно-технологический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Казахстанский медицинский университет "ВШОЗ"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Казахстанский университет инновационных и телекоммуникационных систем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Казахстанско-Американский свободный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Казахстанско-Немецкий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Казахстанско-Российский медицинский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экономический университет Казпотребсоюза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Каспийский общественный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lastRenderedPageBreak/>
              <w:t>88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Кокшетауский университет им. А. Мырзахметова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Костанайский инженерно-экономический университет им. М. Дулатова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Костанайский социально-технический университет им. академика З. Алдамжар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Кызылординский университет "Болашак"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университет Астана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Таразский инновационный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"Туран"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"Туран-Астана"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96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2B1CC3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«Сырдария»;</w:t>
            </w:r>
          </w:p>
        </w:tc>
      </w:tr>
      <w:tr w:rsidR="00992C54" w:rsidRPr="00992C54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97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дружбы народов им. академика А.Куатбекова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98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им. С. Демиреля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99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международного бизнеса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100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"Мирас"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101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Центрально-Азиатский инновационный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102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Центрально-Казахстанская академия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103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Шымкентский университет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211"/>
        </w:trPr>
        <w:tc>
          <w:tcPr>
            <w:tcW w:w="940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Международные вузы</w:t>
            </w:r>
          </w:p>
        </w:tc>
      </w:tr>
      <w:tr w:rsidR="00992C54" w:rsidRPr="00945F13" w:rsidTr="0042103E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104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45F13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казахско-турецкий университет им. Х.А.Ясави</w:t>
            </w:r>
            <w:r w:rsidR="002B1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92C54" w:rsidRPr="00945F13" w:rsidTr="0042103E">
        <w:trPr>
          <w:trHeight w:val="300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105</w:t>
            </w:r>
          </w:p>
        </w:tc>
        <w:tc>
          <w:tcPr>
            <w:tcW w:w="8780" w:type="dxa"/>
            <w:shd w:val="clear" w:color="auto" w:fill="auto"/>
            <w:vAlign w:val="center"/>
            <w:hideMark/>
          </w:tcPr>
          <w:p w:rsidR="00992C54" w:rsidRPr="00992C54" w:rsidRDefault="00992C54" w:rsidP="00641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Назарбаев Университет </w:t>
            </w:r>
          </w:p>
        </w:tc>
      </w:tr>
    </w:tbl>
    <w:p w:rsidR="00EE0279" w:rsidRPr="00EE0279" w:rsidRDefault="00EE0279" w:rsidP="0064119C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92C54" w:rsidRPr="0064119C" w:rsidRDefault="008F779A" w:rsidP="0064119C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0A9D">
        <w:rPr>
          <w:rFonts w:ascii="Times New Roman" w:hAnsi="Times New Roman" w:cs="Times New Roman"/>
          <w:b/>
          <w:sz w:val="28"/>
          <w:szCs w:val="28"/>
          <w:lang w:val="ru-RU"/>
        </w:rPr>
        <w:t>Список научно-исследовательских институтов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математики и математического моделирования»;</w:t>
      </w:r>
    </w:p>
    <w:p w:rsidR="008F779A" w:rsidRPr="00992C54" w:rsidRDefault="007A0A9D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РГП на ПХВ «Институт экономики»</w:t>
      </w:r>
      <w:r w:rsidR="008F779A" w:rsidRPr="00992C5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языкознания имени А. Байтурсынова»;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литературы и искусства имени  М.О. Ауэзова»;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истории и этнологии имени Ч.Ч. Валиханова»;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философии, политологии и религиоведения»;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археологии имени А.Х. Маргулана»;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востоковедения имени Р.Б. Сулейменова»;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«Ғылым ордасы»;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биологии и биотехнологии растений»;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генетики и физиологии»;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«Алтайский ботанический сад»;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«Мангишлакский экспериментальный ботанический сад»;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зоологии»;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 xml:space="preserve">РГП на ПХВ «Институт молекулярной биологии и биохимии им. </w:t>
      </w:r>
      <w:r w:rsidRPr="00992C54">
        <w:rPr>
          <w:rFonts w:ascii="Times New Roman" w:hAnsi="Times New Roman" w:cs="Times New Roman"/>
          <w:sz w:val="24"/>
          <w:szCs w:val="24"/>
        </w:rPr>
        <w:t>М.А. Айтхожина»;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механики и машиноведения имени академика У.А. Джолдасбекова»;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информационных и вычислительных технологий»;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проблем горения»;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</w:rPr>
        <w:t>АО «Фонд Науки»;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АО «Национальный центр государственной научно-технической экспертизы»;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АО «Институт географии и водной безопасности»;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ТОО «Центрально–азиатский региональный гляциологический центр категории 2 под эгидой ЮНЕСКО»;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</w:rPr>
        <w:t>ТОО «Институт евразийской интеграции»;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«Научный институт изучения Улуса Джучи»;</w:t>
      </w:r>
    </w:p>
    <w:p w:rsidR="008F779A" w:rsidRPr="00992C54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РГУ «Мемориальный музей академика К.И. Сатпаева»;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F779A" w:rsidRPr="0064119C" w:rsidRDefault="008F779A" w:rsidP="0064119C">
      <w:pPr>
        <w:pStyle w:val="af4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</w:rPr>
        <w:t>РГУ «Институт истории государства»</w:t>
      </w:r>
      <w:r w:rsidR="007A0A9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92C54">
        <w:rPr>
          <w:rFonts w:ascii="Times New Roman" w:hAnsi="Times New Roman" w:cs="Times New Roman"/>
          <w:sz w:val="24"/>
          <w:szCs w:val="24"/>
        </w:rPr>
        <w:tab/>
      </w:r>
    </w:p>
    <w:p w:rsidR="00356DEA" w:rsidRDefault="008E792C"/>
    <w:p w:rsidR="007C52E5" w:rsidRDefault="008E792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7C52E5" w:rsidRDefault="008E792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15.10.2024 11:02 Секербаева Динара Амангельдиевна</w:t>
      </w:r>
    </w:p>
    <w:p w:rsidR="007C52E5" w:rsidRDefault="008E792C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15.10.2024 11:50 Рамазан Аян Серикұлы</w:t>
      </w:r>
    </w:p>
    <w:p w:rsidR="007C52E5" w:rsidRDefault="008E792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7C52E5" w:rsidRDefault="008E792C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15.10.2024 12:32 Жанкуатов Галимжан Жандосулы</w:t>
      </w:r>
    </w:p>
    <w:p w:rsidR="007C52E5" w:rsidRDefault="008E792C">
      <w:r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2882"/>
        <w:gridCol w:w="6003"/>
      </w:tblGrid>
      <w:tr w:rsidR="007C52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</w:t>
            </w:r>
          </w:p>
        </w:tc>
      </w:tr>
      <w:tr w:rsidR="007C52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16-16-2-56/8655-И от 15.10.2024 г.</w:t>
            </w:r>
          </w:p>
        </w:tc>
      </w:tr>
      <w:tr w:rsidR="007C52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МИНИСТЕРСТВО НАУКИ И ВЫСШЕГО ОБРАЗОВАНИЯ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РЕСПУБЛИКИ КАЗАХСТАН</w:t>
            </w:r>
          </w:p>
        </w:tc>
      </w:tr>
      <w:tr w:rsidR="007C52E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"РЕСПУБЛИКАНСКОЕ ГОСУДАРСТВЕННОЕ ПРЕДПРИЯТИЕ НА ПРАВЕ ХОЗЯЙСТВЕННОГО ВЕДЕНИЯ "ИНСТИТУТ МАТЕМАТИКИ И МАТЕМАТИЧЕСКОГО МОДЕЛИРОВАНИЯ" КОМИТЕТА НАУКИ МИНИСТЕРСТВА НАУКИ И ВЫСШЕГО ОБРАЗОВАНИЯ РЕСПУБЛИКИ КАЗАХСТАН"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"РЕСПУБЛИКАНСКОЕ ГОСУДАРСТВЕННОЕ ПРЕДПРИЯТИЕ НА ПРАВЕ ХОЗЯЙСТВЕННОГО ВЕДЕНИЯ "ИНСТИТУТ ЯЗЫКОЗНАНИЯ ИМЕНИ А. БАЙТУРСЫНОВА" КОМИТЕТА НАУКИ МИНИСТЕРСТВА НАУКИ И ВЫСШЕГО ОБРАЗОВАНИЯ РЕСПУБЛИКИ КАЗАХСТАН"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"РЕСПУБЛИКАНСКОЕ ГОСУДАРСТВЕННОЕ ПРЕДПРИЯТИЕ НА ПРАВЕ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ХОЗЯЙСТВЕННОГО ВЕДЕНИЯ "ИНСТИТУТ ВОСТОКОВЕДЕНИЯ ИМЕНИ Р.Б. СУЛЕЙМЕНОВА" КОМИТЕТА НАУКИ МИНИСТЕРСТВА ОБРАЗОВАНИЯ И НАУКИ РЕСПУБЛИКИ КАЗАХСТАН"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РГП НА ПХВ «ҒЫЛЫМ ОРДАСЫ»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"РЕСПУБЛИКАНСКОЕ ГОСУДАРСТВЕННОЕ ПРЕДПРИЯТИЕ НА ПРАВЕ ХОЗЯЙСТВЕННОГО ВЕДЕНИЯ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"ИНСТИТУТ БИОЛОГИИ И БИОТЕХНОЛОГИИ РАСТЕНИЙ" КОМИТЕТА НАУКИ МИНИСТЕРСТВА ОБРАЗОВАНИЯ И НАУКИ РЕСПУБЛИКИ КАЗАХСТАН"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РЕСПУБЛИКАНСКОЕ ГОСУДАРСТВЕННОЕ ПРЕДПРИЯТИЕ НА ПРАВЕ ХОЗЯЙСТВЕННОГО ВЕДЕНИЯ "ИНСТИТУТ ГЕНЕТИКИ И ФИЗИОЛОГИИ" КОМИТЕТА НАУКИ МИНИСТЕРСТВА НА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УКИ И ВЫСШЕГО ОБРАЗОВАНИЯ РЕСПУБЛИКИ КАЗАХСТАН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"РЕСПУБЛИКАНСКОЕ ГОСУДАРСТВЕННОЕ ПРЕДПРИЯТИЕ НА ПРАВЕ ХОЗЯЙСТВЕННОГО ВЕДЕНИЯ "АЛТАЙСКИЙ БОТАНИЧЕСКИЙ САД" КОМИТЕТА НАУКИ МИНИСТЕРСТВА НАУКИ И ВЫСШЕГО ОБРАЗОВАНИЯ РЕСПУБЛИКИ КАЗАХСТАН"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"РЕСПУБЛИКАНСКОЕ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ПРЕДПРИЯТИЕ НА ПРАВЕ ХОЗЯЙСТВЕННОГО ВЕДЕНИЯ "ИНСТИТУТ ЗООЛОГИИ" КОМИТЕТА НАУКИ МИНИСТЕРСТВА ОБРАЗОВАНИЯ И НАУКИ РЕСПУБЛИКИ КАЗАХСТАН"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РЕСПУБЛИКАНСКОЕ ГОСУДАРСТВЕННОЕ ПРЕДПРИЯТИЕ НА ПРАВЕ ХОЗЯЙСТВЕННОГО ВЕДЕНИЯ "ИНСТИТУТ МОЛЕКУЛЯРНОЙ БИОЛО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ГИИ И БИОХИМИИ ИМЕНИ М.А. АЙТХОЖИНА" КОМИТЕТА НАУКИ МИНИСТЕРСТВА НАУКИ И ВЫСШЕГО ОБРАЗОВАНИЯ РЕСПУБЛИКИ КАЗАХСТАН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РЕСПУБЛИКАНСКОЕ ГОСУДАРСТВЕННОЕ ПРЕДПРИЯТИЕ НА ПРАВЕ ХОЗЯЙСТВЕННОГО ВЕДЕНИЯ "ИНСТИТУТ ПРОБЛЕМ ГОРЕНИЯ" КОМИТЕТА НАУКИ МИНИСТЕРСТВА ОБРАЗОВАН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ИЯ И НАУКИ РЕСПУБЛИКИ КАЗАХСТАН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АКЦИОНЕРНОЕ ОБЩЕСТВО «ФОНД НАУКИ»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АКЦИОНЕРНОЕ ОБЩЕСТВО «НАЦИОНАЛЬНЫЙ ЦЕНТР ГОСУДАРСТВЕННОЙ НАУЧНО-ТЕХНИЧЕСКОЙ ЭКСПЕРТИЗЫ»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АКЦИОНЕРНОЕ ОБЩЕСТВО «ИНСТИТУТ ГЕОГРАФИИ И ВОДНОЙ БЕЗОПАСНОСТИ»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АО "ИНСТИТУТ ГЕОГРАФИИ 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ВОДНОЙ БЕЗОПАСНОСТИ"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РЕСПУБЛИКАНСКОЕ ГОСУДАРСТВЕННОЕ УЧРЕЖДЕНИЕ "ИНСТИТУТ ИСТОРИИ ГОСУДАРСТВА" МИНИСТЕРСТВА НАУКИ И ВЫСШЕГО ОБРАЗОВАНИЯ РЕСПУБЛИКИ КАЗАХСТАН</w:t>
            </w:r>
          </w:p>
        </w:tc>
      </w:tr>
      <w:tr w:rsidR="007C52E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"Комитет науки Министерства 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ауки и высшего образования Республики Казахстан"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Согласовано:  СЕКЕРБАЕВА ДИНАРА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MIIRsgYJ...QEM5pFQ==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11:02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"Комитет науки Министерства науки и высшего образования Республики Казахстан"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Согласовано: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РАМАЗАН АЯН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MIIRcAYJ...Es7zP4A==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11:50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"Министерство науки и высшего образования Республики Казахстан"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ЖАНКУАТОВ ГАЛИМЖАН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MIIR/wYJ...EBFpxik7l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12:32</w:t>
            </w:r>
          </w:p>
        </w:tc>
      </w:tr>
      <w:tr w:rsidR="007C52E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"Министерство науки и высшего образования Республики Казахстан"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АЙТКУЖИНОВА АЙЖАНА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MIISTwYJ...4qcJXhXQ=</w:t>
            </w:r>
          </w:p>
          <w:p w:rsidR="007C52E5" w:rsidRDefault="008E792C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12:40</w:t>
            </w:r>
          </w:p>
        </w:tc>
      </w:tr>
    </w:tbl>
    <w:p w:rsidR="007C52E5" w:rsidRDefault="007C52E5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7C52E5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7C52E5" w:rsidRDefault="007C52E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52E5" w:rsidRDefault="008E792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Данный документ согласно пункту 1 статьи 7 ЗРК от 7 января 200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8E792C"/>
    <w:sectPr w:rsidR="00000000" w:rsidSect="00992C54">
      <w:headerReference w:type="default" r:id="rId9"/>
      <w:footerReference w:type="default" r:id="rId10"/>
      <w:pgSz w:w="11906" w:h="16838"/>
      <w:pgMar w:top="851" w:right="850" w:bottom="709" w:left="1276" w:header="0" w:footer="15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2C" w:rsidRDefault="008E792C">
      <w:pPr>
        <w:spacing w:after="0" w:line="240" w:lineRule="auto"/>
      </w:pPr>
      <w:r>
        <w:separator/>
      </w:r>
    </w:p>
  </w:endnote>
  <w:endnote w:type="continuationSeparator" w:id="0">
    <w:p w:rsidR="008E792C" w:rsidRDefault="008E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noto sans cjk sc">
    <w:charset w:val="00"/>
    <w:family w:val="auto"/>
    <w:pitch w:val="default"/>
  </w:font>
  <w:font w:name="Lohit Devanagari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06C" w:rsidRDefault="00775D2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53" w:lineRule="atLeast"/>
    </w:pPr>
    <w:r>
      <w:rPr>
        <w:color w:val="000000"/>
      </w:rPr>
      <w:t> </w:t>
    </w: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0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7C52E5" w:rsidRPr="00AC16FB" w:rsidRDefault="008E792C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15.10.2024 14:31.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8E792C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2C" w:rsidRDefault="008E792C">
      <w:pPr>
        <w:spacing w:after="0" w:line="240" w:lineRule="auto"/>
      </w:pPr>
      <w:r>
        <w:separator/>
      </w:r>
    </w:p>
  </w:footnote>
  <w:footnote w:type="continuationSeparator" w:id="0">
    <w:p w:rsidR="008E792C" w:rsidRDefault="008E7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8E792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Есенбекова Гульжан Базарбаевна 15.10.2024 14:3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729D"/>
    <w:multiLevelType w:val="hybridMultilevel"/>
    <w:tmpl w:val="7346AC54"/>
    <w:lvl w:ilvl="0" w:tplc="C8121702">
      <w:start w:val="1"/>
      <w:numFmt w:val="decimal"/>
      <w:lvlText w:val="%1."/>
      <w:lvlJc w:val="left"/>
      <w:pPr>
        <w:ind w:left="720" w:hanging="360"/>
      </w:pPr>
    </w:lvl>
    <w:lvl w:ilvl="1" w:tplc="1D500C0C">
      <w:start w:val="1"/>
      <w:numFmt w:val="lowerLetter"/>
      <w:lvlText w:val="%2."/>
      <w:lvlJc w:val="left"/>
      <w:pPr>
        <w:ind w:left="1440" w:hanging="360"/>
      </w:pPr>
    </w:lvl>
    <w:lvl w:ilvl="2" w:tplc="71DC7E18">
      <w:start w:val="1"/>
      <w:numFmt w:val="lowerRoman"/>
      <w:lvlText w:val="%3."/>
      <w:lvlJc w:val="right"/>
      <w:pPr>
        <w:ind w:left="2160" w:hanging="180"/>
      </w:pPr>
    </w:lvl>
    <w:lvl w:ilvl="3" w:tplc="E7DEF1BC">
      <w:start w:val="1"/>
      <w:numFmt w:val="decimal"/>
      <w:lvlText w:val="%4."/>
      <w:lvlJc w:val="left"/>
      <w:pPr>
        <w:ind w:left="2880" w:hanging="360"/>
      </w:pPr>
    </w:lvl>
    <w:lvl w:ilvl="4" w:tplc="63204F16">
      <w:start w:val="1"/>
      <w:numFmt w:val="lowerLetter"/>
      <w:lvlText w:val="%5."/>
      <w:lvlJc w:val="left"/>
      <w:pPr>
        <w:ind w:left="3600" w:hanging="360"/>
      </w:pPr>
    </w:lvl>
    <w:lvl w:ilvl="5" w:tplc="5B961392">
      <w:start w:val="1"/>
      <w:numFmt w:val="lowerRoman"/>
      <w:lvlText w:val="%6."/>
      <w:lvlJc w:val="right"/>
      <w:pPr>
        <w:ind w:left="4320" w:hanging="180"/>
      </w:pPr>
    </w:lvl>
    <w:lvl w:ilvl="6" w:tplc="40DEEBB2">
      <w:start w:val="1"/>
      <w:numFmt w:val="decimal"/>
      <w:lvlText w:val="%7."/>
      <w:lvlJc w:val="left"/>
      <w:pPr>
        <w:ind w:left="5040" w:hanging="360"/>
      </w:pPr>
    </w:lvl>
    <w:lvl w:ilvl="7" w:tplc="C12A08B6">
      <w:start w:val="1"/>
      <w:numFmt w:val="lowerLetter"/>
      <w:lvlText w:val="%8."/>
      <w:lvlJc w:val="left"/>
      <w:pPr>
        <w:ind w:left="5760" w:hanging="360"/>
      </w:pPr>
    </w:lvl>
    <w:lvl w:ilvl="8" w:tplc="6750F0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22E2B"/>
    <w:multiLevelType w:val="hybridMultilevel"/>
    <w:tmpl w:val="AB9E724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06C"/>
    <w:rsid w:val="00157AED"/>
    <w:rsid w:val="0019466D"/>
    <w:rsid w:val="00273579"/>
    <w:rsid w:val="00297AA1"/>
    <w:rsid w:val="002B1CC3"/>
    <w:rsid w:val="00365298"/>
    <w:rsid w:val="0042103E"/>
    <w:rsid w:val="00476E69"/>
    <w:rsid w:val="0058706C"/>
    <w:rsid w:val="005938E9"/>
    <w:rsid w:val="005B094F"/>
    <w:rsid w:val="005D2E27"/>
    <w:rsid w:val="00630A17"/>
    <w:rsid w:val="0064119C"/>
    <w:rsid w:val="006B27D1"/>
    <w:rsid w:val="007607F5"/>
    <w:rsid w:val="00775D2C"/>
    <w:rsid w:val="007A0A9D"/>
    <w:rsid w:val="007C52E5"/>
    <w:rsid w:val="007E0377"/>
    <w:rsid w:val="007E6B92"/>
    <w:rsid w:val="00823BB3"/>
    <w:rsid w:val="008E792C"/>
    <w:rsid w:val="008F779A"/>
    <w:rsid w:val="00945F13"/>
    <w:rsid w:val="00992C54"/>
    <w:rsid w:val="009A5036"/>
    <w:rsid w:val="009D701A"/>
    <w:rsid w:val="00A743CB"/>
    <w:rsid w:val="00B01396"/>
    <w:rsid w:val="00B629E4"/>
    <w:rsid w:val="00CC4AB5"/>
    <w:rsid w:val="00D548FB"/>
    <w:rsid w:val="00D57903"/>
    <w:rsid w:val="00D761FF"/>
    <w:rsid w:val="00EE0279"/>
    <w:rsid w:val="00EF454C"/>
    <w:rsid w:val="00F46A58"/>
    <w:rsid w:val="00FE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2BC8C99-872B-4E60-A757-97C68136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3">
    <w:name w:val="table of figures"/>
    <w:basedOn w:val="a"/>
    <w:next w:val="a"/>
    <w:uiPriority w:val="99"/>
    <w:unhideWhenUsed/>
    <w:pPr>
      <w:spacing w:after="0"/>
    </w:pPr>
  </w:style>
  <w:style w:type="table" w:styleId="a4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7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d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e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0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1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  <w:pPr>
      <w:spacing w:after="200" w:line="276" w:lineRule="auto"/>
    </w:pPr>
  </w:style>
  <w:style w:type="paragraph" w:styleId="af3">
    <w:name w:val="No Spacing"/>
    <w:basedOn w:val="a"/>
    <w:uiPriority w:val="1"/>
    <w:qFormat/>
    <w:pPr>
      <w:spacing w:after="0" w:line="240" w:lineRule="auto"/>
    </w:pPr>
  </w:style>
  <w:style w:type="paragraph" w:styleId="af4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f5"/>
    <w:uiPriority w:val="34"/>
    <w:qFormat/>
    <w:pPr>
      <w:ind w:left="720"/>
      <w:contextualSpacing/>
    </w:pPr>
  </w:style>
  <w:style w:type="paragraph" w:customStyle="1" w:styleId="SalemParagraph">
    <w:name w:val="SalemParagraph"/>
    <w:rPr>
      <w:rFonts w:ascii="Times New Roman" w:hAnsi="Times New Roman"/>
      <w:sz w:val="28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styleId="af8">
    <w:name w:val="Strong"/>
    <w:basedOn w:val="a0"/>
    <w:uiPriority w:val="22"/>
    <w:qFormat/>
    <w:rPr>
      <w:b/>
      <w:bCs/>
    </w:rPr>
  </w:style>
  <w:style w:type="character" w:customStyle="1" w:styleId="docdata">
    <w:name w:val="docdata"/>
    <w:basedOn w:val="a0"/>
  </w:style>
  <w:style w:type="paragraph" w:customStyle="1" w:styleId="2363">
    <w:name w:val="23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ezkurwreuab5ozgtqnkl">
    <w:name w:val="ezkurwreuab5ozgtqnkl"/>
    <w:basedOn w:val="a0"/>
    <w:rsid w:val="005B094F"/>
  </w:style>
  <w:style w:type="character" w:customStyle="1" w:styleId="af5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link w:val="af4"/>
    <w:uiPriority w:val="34"/>
    <w:qFormat/>
    <w:locked/>
    <w:rsid w:val="008F7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2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1688</Words>
  <Characters>9627</Characters>
  <Application>Microsoft Office Word</Application>
  <DocSecurity>8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Назерке Маряк</dc:creator>
  <cp:lastModifiedBy>Есенбекова Гульжан</cp:lastModifiedBy>
  <cp:revision>2</cp:revision>
  <cp:lastPrinted>2024-10-10T05:31:00Z</cp:lastPrinted>
  <dcterms:created xsi:type="dcterms:W3CDTF">2024-10-15T09:33:00Z</dcterms:created>
  <dcterms:modified xsi:type="dcterms:W3CDTF">2024-10-15T09:33:00Z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